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422C" w14:textId="634C796D" w:rsidR="00A23A84" w:rsidRPr="005430ED" w:rsidRDefault="00855BD2" w:rsidP="005430ED">
      <w:pPr>
        <w:jc w:val="center"/>
        <w:rPr>
          <w:b/>
          <w:bCs/>
          <w:sz w:val="28"/>
          <w:szCs w:val="28"/>
          <w:lang w:val="fr-FR"/>
        </w:rPr>
      </w:pPr>
      <w:r w:rsidRPr="005430ED">
        <w:rPr>
          <w:b/>
          <w:bCs/>
          <w:sz w:val="28"/>
          <w:szCs w:val="28"/>
          <w:lang w:val="fr-FR"/>
        </w:rPr>
        <w:t>Forum national de la jeunesse (FONAJEUNE)</w:t>
      </w:r>
    </w:p>
    <w:p w14:paraId="7D67EA7A" w14:textId="12E72F6B" w:rsidR="00855BD2" w:rsidRPr="005430ED" w:rsidRDefault="00855BD2" w:rsidP="005430ED">
      <w:pPr>
        <w:jc w:val="center"/>
        <w:rPr>
          <w:b/>
          <w:bCs/>
          <w:sz w:val="28"/>
          <w:szCs w:val="28"/>
          <w:lang w:val="fr-FR"/>
        </w:rPr>
      </w:pPr>
      <w:proofErr w:type="spellStart"/>
      <w:r w:rsidRPr="005430ED">
        <w:rPr>
          <w:b/>
          <w:bCs/>
          <w:sz w:val="28"/>
          <w:szCs w:val="28"/>
          <w:lang w:val="fr-FR"/>
        </w:rPr>
        <w:t>Pr</w:t>
      </w:r>
      <w:r w:rsidR="005430ED">
        <w:rPr>
          <w:b/>
          <w:bCs/>
          <w:sz w:val="28"/>
          <w:szCs w:val="28"/>
          <w:lang w:val="fr-FR"/>
        </w:rPr>
        <w:t>é</w:t>
      </w:r>
      <w:r w:rsidRPr="005430ED">
        <w:rPr>
          <w:b/>
          <w:bCs/>
          <w:sz w:val="28"/>
          <w:szCs w:val="28"/>
          <w:lang w:val="fr-FR"/>
        </w:rPr>
        <w:t>forum</w:t>
      </w:r>
      <w:proofErr w:type="spellEnd"/>
      <w:r w:rsidRPr="005430ED">
        <w:rPr>
          <w:b/>
          <w:bCs/>
          <w:sz w:val="28"/>
          <w:szCs w:val="28"/>
          <w:lang w:val="fr-FR"/>
        </w:rPr>
        <w:t xml:space="preserve"> du mercredi 14 janvier 2026</w:t>
      </w:r>
    </w:p>
    <w:p w14:paraId="4D655440" w14:textId="163AAC02" w:rsidR="00855BD2" w:rsidRPr="005430ED" w:rsidRDefault="00855BD2" w:rsidP="005430ED">
      <w:pPr>
        <w:jc w:val="center"/>
        <w:rPr>
          <w:b/>
          <w:bCs/>
          <w:sz w:val="28"/>
          <w:szCs w:val="28"/>
          <w:lang w:val="fr-FR"/>
        </w:rPr>
      </w:pPr>
      <w:r w:rsidRPr="005430ED">
        <w:rPr>
          <w:b/>
          <w:bCs/>
          <w:sz w:val="28"/>
          <w:szCs w:val="28"/>
          <w:lang w:val="fr-FR"/>
        </w:rPr>
        <w:t>Yaoundé – palais des congres</w:t>
      </w:r>
    </w:p>
    <w:p w14:paraId="78EE4520" w14:textId="77777777" w:rsidR="00855BD2" w:rsidRDefault="00855BD2">
      <w:pPr>
        <w:rPr>
          <w:lang w:val="fr-FR"/>
        </w:rPr>
      </w:pPr>
    </w:p>
    <w:p w14:paraId="693B203F" w14:textId="4FABBBAF" w:rsidR="00855BD2" w:rsidRDefault="00855BD2" w:rsidP="005430ED">
      <w:pPr>
        <w:jc w:val="both"/>
        <w:rPr>
          <w:lang w:val="fr-FR"/>
        </w:rPr>
      </w:pPr>
      <w:r>
        <w:rPr>
          <w:lang w:val="fr-FR"/>
        </w:rPr>
        <w:t>Communication de monsieur TERRESTRA NANG JACQUES ADELAIN, délégué régional de la jeunesse et de l’éducation civique du Littoral sur la thématique : « Problématique sur l’impact et la mise en œuvre des projets et programmes du MINJEC auprès des jeunes : difficultés et perspectives »</w:t>
      </w:r>
    </w:p>
    <w:p w14:paraId="205EB5AF" w14:textId="77777777" w:rsidR="00855BD2" w:rsidRDefault="00855BD2" w:rsidP="005430ED">
      <w:pPr>
        <w:jc w:val="both"/>
        <w:rPr>
          <w:lang w:val="fr-FR"/>
        </w:rPr>
      </w:pPr>
    </w:p>
    <w:p w14:paraId="219FEBEA" w14:textId="75452E1E" w:rsidR="00855BD2" w:rsidRDefault="00855BD2" w:rsidP="005430ED">
      <w:pPr>
        <w:jc w:val="both"/>
        <w:rPr>
          <w:lang w:val="fr-FR"/>
        </w:rPr>
      </w:pPr>
      <w:r>
        <w:rPr>
          <w:lang w:val="fr-FR"/>
        </w:rPr>
        <w:t xml:space="preserve">Constance à retenir : les délégations d’arrondissement du MINJEC et surtout les centres multifonctionnels de promotion des </w:t>
      </w:r>
      <w:r w:rsidR="00F178A6">
        <w:rPr>
          <w:lang w:val="fr-FR"/>
        </w:rPr>
        <w:t>jeunes dans</w:t>
      </w:r>
      <w:r>
        <w:rPr>
          <w:lang w:val="fr-FR"/>
        </w:rPr>
        <w:t xml:space="preserve"> les arrondissements sont les portes d’entrée, d’accueil, d’enregistrement et les structures d’implémentation </w:t>
      </w:r>
      <w:r w:rsidR="00F178A6">
        <w:rPr>
          <w:lang w:val="fr-FR"/>
        </w:rPr>
        <w:t xml:space="preserve">de tous les projets et programmes du MIJEC. </w:t>
      </w:r>
    </w:p>
    <w:p w14:paraId="58231318" w14:textId="200F95A2" w:rsidR="00F178A6" w:rsidRDefault="00F178A6" w:rsidP="005430ED">
      <w:pPr>
        <w:jc w:val="both"/>
        <w:rPr>
          <w:lang w:val="fr-FR"/>
        </w:rPr>
      </w:pPr>
      <w:r>
        <w:rPr>
          <w:lang w:val="fr-FR"/>
        </w:rPr>
        <w:t>Les délégations départementales et régionales jouent beaucoup plus le rôle administratif de coordination, par conséquent, le jeune appartient à l’arrondissement.</w:t>
      </w:r>
    </w:p>
    <w:p w14:paraId="50790DCD" w14:textId="77777777" w:rsidR="00F178A6" w:rsidRDefault="00F178A6" w:rsidP="005430ED">
      <w:pPr>
        <w:jc w:val="both"/>
        <w:rPr>
          <w:lang w:val="fr-FR"/>
        </w:rPr>
      </w:pPr>
    </w:p>
    <w:p w14:paraId="35C3A521" w14:textId="0E2482AD" w:rsidR="00F178A6" w:rsidRDefault="00F178A6" w:rsidP="005430ED">
      <w:pPr>
        <w:jc w:val="center"/>
        <w:rPr>
          <w:b/>
          <w:bCs/>
          <w:sz w:val="28"/>
          <w:szCs w:val="28"/>
          <w:lang w:val="fr-FR"/>
        </w:rPr>
      </w:pPr>
      <w:r w:rsidRPr="005430ED">
        <w:rPr>
          <w:b/>
          <w:bCs/>
          <w:sz w:val="28"/>
          <w:szCs w:val="28"/>
          <w:lang w:val="fr-FR"/>
        </w:rPr>
        <w:t>DIFFICULTES ET PERSPECTIVES</w:t>
      </w:r>
    </w:p>
    <w:p w14:paraId="0EB9497B" w14:textId="77777777" w:rsidR="005430ED" w:rsidRPr="005430ED" w:rsidRDefault="005430ED" w:rsidP="005430ED">
      <w:pPr>
        <w:jc w:val="center"/>
        <w:rPr>
          <w:b/>
          <w:bCs/>
          <w:sz w:val="28"/>
          <w:szCs w:val="28"/>
          <w:lang w:val="fr-FR"/>
        </w:rPr>
      </w:pPr>
    </w:p>
    <w:p w14:paraId="3FFB7A08" w14:textId="0E254FC1" w:rsidR="00F178A6" w:rsidRPr="005430ED" w:rsidRDefault="00DD44CD">
      <w:pPr>
        <w:rPr>
          <w:b/>
          <w:bCs/>
          <w:sz w:val="28"/>
          <w:szCs w:val="28"/>
          <w:lang w:val="fr-FR"/>
        </w:rPr>
      </w:pPr>
      <w:r w:rsidRPr="005430ED">
        <w:rPr>
          <w:b/>
          <w:bCs/>
          <w:sz w:val="28"/>
          <w:szCs w:val="28"/>
          <w:lang w:val="fr-FR"/>
        </w:rPr>
        <w:t xml:space="preserve">A/   </w:t>
      </w:r>
      <w:r w:rsidR="00F178A6" w:rsidRPr="005430ED">
        <w:rPr>
          <w:b/>
          <w:bCs/>
          <w:sz w:val="28"/>
          <w:szCs w:val="28"/>
          <w:lang w:val="fr-FR"/>
        </w:rPr>
        <w:t xml:space="preserve">Sur le plan des ressources humaines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178A6" w14:paraId="652D9381" w14:textId="77777777" w:rsidTr="00F178A6">
        <w:tc>
          <w:tcPr>
            <w:tcW w:w="3116" w:type="dxa"/>
          </w:tcPr>
          <w:p w14:paraId="625F80D8" w14:textId="6DED9DFD" w:rsidR="00F178A6" w:rsidRDefault="00F178A6">
            <w:pPr>
              <w:rPr>
                <w:lang w:val="fr-FR"/>
              </w:rPr>
            </w:pPr>
            <w:r>
              <w:rPr>
                <w:lang w:val="fr-FR"/>
              </w:rPr>
              <w:t>Limites ou difficultés</w:t>
            </w:r>
          </w:p>
        </w:tc>
        <w:tc>
          <w:tcPr>
            <w:tcW w:w="3117" w:type="dxa"/>
          </w:tcPr>
          <w:p w14:paraId="04DECD24" w14:textId="3C73535C" w:rsidR="00F178A6" w:rsidRDefault="00F178A6">
            <w:pPr>
              <w:rPr>
                <w:lang w:val="fr-FR"/>
              </w:rPr>
            </w:pPr>
            <w:r>
              <w:rPr>
                <w:lang w:val="fr-FR"/>
              </w:rPr>
              <w:t>Conséquence ou impact</w:t>
            </w:r>
          </w:p>
        </w:tc>
        <w:tc>
          <w:tcPr>
            <w:tcW w:w="3117" w:type="dxa"/>
          </w:tcPr>
          <w:p w14:paraId="72709C6A" w14:textId="72506938" w:rsidR="00F178A6" w:rsidRDefault="00F178A6">
            <w:pPr>
              <w:rPr>
                <w:lang w:val="fr-FR"/>
              </w:rPr>
            </w:pPr>
            <w:r>
              <w:rPr>
                <w:lang w:val="fr-FR"/>
              </w:rPr>
              <w:t>Approche de solution</w:t>
            </w:r>
          </w:p>
        </w:tc>
      </w:tr>
      <w:tr w:rsidR="00F178A6" w14:paraId="7C33331A" w14:textId="77777777" w:rsidTr="00F178A6">
        <w:tc>
          <w:tcPr>
            <w:tcW w:w="3116" w:type="dxa"/>
          </w:tcPr>
          <w:p w14:paraId="1E08480A" w14:textId="00228C77" w:rsidR="00F178A6" w:rsidRDefault="00F178A6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Manque de professionnalisme, de dévouement et d’engagement des collaborateurs </w:t>
            </w:r>
            <w:r w:rsidR="00606250">
              <w:rPr>
                <w:lang w:val="fr-FR"/>
              </w:rPr>
              <w:t>de</w:t>
            </w:r>
            <w:r>
              <w:rPr>
                <w:lang w:val="fr-FR"/>
              </w:rPr>
              <w:t xml:space="preserve"> la base</w:t>
            </w:r>
          </w:p>
          <w:p w14:paraId="11A0C84F" w14:textId="77777777" w:rsidR="00F178A6" w:rsidRDefault="00606250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>Très faible connaissance et appropriation des projets et programmes à mettre en œuvre</w:t>
            </w:r>
          </w:p>
          <w:p w14:paraId="468A9E4D" w14:textId="77777777" w:rsidR="00606250" w:rsidRDefault="00606250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lastRenderedPageBreak/>
              <w:t>Manque criard de personnels dans les structures de base</w:t>
            </w:r>
          </w:p>
          <w:p w14:paraId="46B14DC5" w14:textId="77777777" w:rsidR="00DD44CD" w:rsidRDefault="00DD44CD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>Faible collaboration avec les autorités locales (administratives, traditionnelles, religieuses ou politiques).</w:t>
            </w:r>
          </w:p>
          <w:p w14:paraId="2080A597" w14:textId="5428019E" w:rsidR="00753AEC" w:rsidRPr="00F178A6" w:rsidRDefault="00753AEC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>Absence chez les collaborateurs de base, de la cartographie du milieu de travail et d’une banque de données actualisée</w:t>
            </w:r>
          </w:p>
        </w:tc>
        <w:tc>
          <w:tcPr>
            <w:tcW w:w="3117" w:type="dxa"/>
          </w:tcPr>
          <w:p w14:paraId="0AFA05F1" w14:textId="77777777" w:rsidR="00F178A6" w:rsidRDefault="00606250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Incapacité à satisfaire la mission de mise en œuvre des projets et programmes </w:t>
            </w:r>
          </w:p>
          <w:p w14:paraId="24FF91C9" w14:textId="77777777" w:rsidR="00606250" w:rsidRDefault="00606250" w:rsidP="005430ED">
            <w:pPr>
              <w:jc w:val="both"/>
              <w:rPr>
                <w:lang w:val="fr-FR"/>
              </w:rPr>
            </w:pPr>
          </w:p>
          <w:p w14:paraId="5B6282B6" w14:textId="77777777" w:rsidR="00606250" w:rsidRPr="00606250" w:rsidRDefault="00606250" w:rsidP="005430ED">
            <w:pPr>
              <w:jc w:val="both"/>
              <w:rPr>
                <w:lang w:val="fr-FR"/>
              </w:rPr>
            </w:pPr>
          </w:p>
          <w:p w14:paraId="5E8753CE" w14:textId="77777777" w:rsidR="00606250" w:rsidRDefault="00606250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Incapacité à satisfaire la mission de mise en œuvre des projets et programmes </w:t>
            </w:r>
          </w:p>
          <w:p w14:paraId="5767DA45" w14:textId="77777777" w:rsidR="00606250" w:rsidRDefault="00606250" w:rsidP="00606250">
            <w:pPr>
              <w:rPr>
                <w:lang w:val="fr-FR"/>
              </w:rPr>
            </w:pPr>
          </w:p>
          <w:p w14:paraId="18BC3456" w14:textId="77777777" w:rsidR="00606250" w:rsidRDefault="00606250" w:rsidP="00606250">
            <w:pPr>
              <w:rPr>
                <w:lang w:val="fr-FR"/>
              </w:rPr>
            </w:pPr>
          </w:p>
          <w:p w14:paraId="69064058" w14:textId="77777777" w:rsidR="00606250" w:rsidRPr="00606250" w:rsidRDefault="00606250" w:rsidP="00606250">
            <w:pPr>
              <w:rPr>
                <w:lang w:val="fr-FR"/>
              </w:rPr>
            </w:pPr>
          </w:p>
          <w:p w14:paraId="617C60C1" w14:textId="77777777" w:rsidR="00606250" w:rsidRDefault="00606250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lastRenderedPageBreak/>
              <w:t>Faible déploiement sur le terrain</w:t>
            </w:r>
          </w:p>
          <w:p w14:paraId="00AE7798" w14:textId="77777777" w:rsidR="00DD44CD" w:rsidRDefault="00DD44CD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>Absence d’un accompagnement institutionnel de facilitation</w:t>
            </w:r>
          </w:p>
          <w:p w14:paraId="3300B63A" w14:textId="77777777" w:rsidR="00753AEC" w:rsidRDefault="00753AEC" w:rsidP="005430ED">
            <w:pPr>
              <w:jc w:val="both"/>
              <w:rPr>
                <w:lang w:val="fr-FR"/>
              </w:rPr>
            </w:pPr>
          </w:p>
          <w:p w14:paraId="0C0D771C" w14:textId="77777777" w:rsidR="00753AEC" w:rsidRPr="00753AEC" w:rsidRDefault="00753AEC" w:rsidP="005430ED">
            <w:pPr>
              <w:jc w:val="both"/>
              <w:rPr>
                <w:lang w:val="fr-FR"/>
              </w:rPr>
            </w:pPr>
          </w:p>
          <w:p w14:paraId="025D50A6" w14:textId="0E87B9C3" w:rsidR="00753AEC" w:rsidRPr="00606250" w:rsidRDefault="00753AEC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Non maitrise du milieu de travail et des données statistiques, par conséquent, navigation à vue </w:t>
            </w:r>
          </w:p>
        </w:tc>
        <w:tc>
          <w:tcPr>
            <w:tcW w:w="3117" w:type="dxa"/>
          </w:tcPr>
          <w:p w14:paraId="1A67473D" w14:textId="77777777" w:rsidR="00F178A6" w:rsidRDefault="00606250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Prévoir des séminaires et ateliers de renforcement des capacités, sur le rôle des structures </w:t>
            </w:r>
            <w:r w:rsidR="00DD44CD">
              <w:rPr>
                <w:lang w:val="fr-FR"/>
              </w:rPr>
              <w:t>d</w:t>
            </w:r>
            <w:r>
              <w:rPr>
                <w:lang w:val="fr-FR"/>
              </w:rPr>
              <w:t xml:space="preserve">e base comme clé de la mise en œuvre des projets et programmes </w:t>
            </w:r>
          </w:p>
          <w:p w14:paraId="51AF6DD3" w14:textId="77777777" w:rsidR="00DD44CD" w:rsidRDefault="00DD44CD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Renforcer les inspections pédagogiques et disciplinaires </w:t>
            </w:r>
          </w:p>
          <w:p w14:paraId="7AFF9B07" w14:textId="77777777" w:rsidR="00DD44CD" w:rsidRDefault="00DD44CD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Prévoir des recrutements de contractuels en relation avec le MINFOPRA, afin d’assurer un minimum de permanence </w:t>
            </w:r>
          </w:p>
          <w:p w14:paraId="3DD891DA" w14:textId="77777777" w:rsidR="00DD44CD" w:rsidRDefault="00DD44CD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Instituer les visas des autorités locales dans les documents de sélection des jeunes bénéficiaires </w:t>
            </w:r>
          </w:p>
          <w:p w14:paraId="141AA254" w14:textId="77777777" w:rsidR="00753AEC" w:rsidRPr="00753AEC" w:rsidRDefault="00753AEC" w:rsidP="005430ED">
            <w:pPr>
              <w:jc w:val="both"/>
              <w:rPr>
                <w:lang w:val="fr-FR"/>
              </w:rPr>
            </w:pPr>
          </w:p>
          <w:p w14:paraId="50EBAC06" w14:textId="38A16001" w:rsidR="00753AEC" w:rsidRPr="00606250" w:rsidRDefault="00753AEC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Imposer à chaque responsable locale, la création des </w:t>
            </w:r>
            <w:proofErr w:type="spellStart"/>
            <w:r>
              <w:rPr>
                <w:lang w:val="fr-FR"/>
              </w:rPr>
              <w:t>EMAPURs</w:t>
            </w:r>
            <w:proofErr w:type="spellEnd"/>
            <w:r>
              <w:rPr>
                <w:lang w:val="fr-FR"/>
              </w:rPr>
              <w:t>, qui renseigne sur la cartographie de terrain et les ressources humaines disponibles dans chaque secteur</w:t>
            </w:r>
          </w:p>
        </w:tc>
      </w:tr>
    </w:tbl>
    <w:p w14:paraId="71654D7C" w14:textId="77777777" w:rsidR="00F178A6" w:rsidRDefault="00F178A6">
      <w:pPr>
        <w:rPr>
          <w:lang w:val="fr-FR"/>
        </w:rPr>
      </w:pPr>
    </w:p>
    <w:p w14:paraId="700732E3" w14:textId="59B56A5C" w:rsidR="00DD44CD" w:rsidRPr="00395611" w:rsidRDefault="00DD44CD" w:rsidP="005430ED">
      <w:pPr>
        <w:jc w:val="both"/>
        <w:rPr>
          <w:b/>
          <w:bCs/>
          <w:sz w:val="28"/>
          <w:szCs w:val="28"/>
          <w:lang w:val="fr-FR"/>
        </w:rPr>
      </w:pPr>
      <w:r w:rsidRPr="00395611">
        <w:rPr>
          <w:b/>
          <w:bCs/>
          <w:sz w:val="28"/>
          <w:szCs w:val="28"/>
          <w:lang w:val="fr-FR"/>
        </w:rPr>
        <w:t xml:space="preserve">B/   Sur le plan des ressources matérielles, financières et structurelles </w:t>
      </w:r>
    </w:p>
    <w:p w14:paraId="6967E459" w14:textId="77777777" w:rsidR="00DD44CD" w:rsidRDefault="00DD44CD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D44CD" w14:paraId="791BC8A3" w14:textId="77777777" w:rsidTr="00DD44CD">
        <w:tc>
          <w:tcPr>
            <w:tcW w:w="3116" w:type="dxa"/>
          </w:tcPr>
          <w:p w14:paraId="59D70605" w14:textId="363EC60D" w:rsidR="00DD44CD" w:rsidRDefault="00DD44CD" w:rsidP="00DD44CD">
            <w:pPr>
              <w:rPr>
                <w:lang w:val="fr-FR"/>
              </w:rPr>
            </w:pPr>
            <w:r>
              <w:rPr>
                <w:lang w:val="fr-FR"/>
              </w:rPr>
              <w:t>Limites ou difficultés</w:t>
            </w:r>
          </w:p>
        </w:tc>
        <w:tc>
          <w:tcPr>
            <w:tcW w:w="3117" w:type="dxa"/>
          </w:tcPr>
          <w:p w14:paraId="290ECB2E" w14:textId="32F38C4C" w:rsidR="00DD44CD" w:rsidRDefault="00DD44CD" w:rsidP="00DD44CD">
            <w:pPr>
              <w:rPr>
                <w:lang w:val="fr-FR"/>
              </w:rPr>
            </w:pPr>
            <w:r>
              <w:rPr>
                <w:lang w:val="fr-FR"/>
              </w:rPr>
              <w:t>Conséquence ou impact</w:t>
            </w:r>
          </w:p>
        </w:tc>
        <w:tc>
          <w:tcPr>
            <w:tcW w:w="3117" w:type="dxa"/>
          </w:tcPr>
          <w:p w14:paraId="379563A0" w14:textId="36897F78" w:rsidR="00DD44CD" w:rsidRDefault="00DD44CD" w:rsidP="00DD44CD">
            <w:pPr>
              <w:rPr>
                <w:lang w:val="fr-FR"/>
              </w:rPr>
            </w:pPr>
            <w:r>
              <w:rPr>
                <w:lang w:val="fr-FR"/>
              </w:rPr>
              <w:t>Approche de solution</w:t>
            </w:r>
          </w:p>
        </w:tc>
      </w:tr>
      <w:tr w:rsidR="00DD44CD" w14:paraId="51DAB8CD" w14:textId="77777777" w:rsidTr="00DD44CD">
        <w:tc>
          <w:tcPr>
            <w:tcW w:w="3116" w:type="dxa"/>
          </w:tcPr>
          <w:p w14:paraId="39ED1B6A" w14:textId="241BF094" w:rsidR="00DD44CD" w:rsidRPr="00DD44CD" w:rsidRDefault="00DD44CD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>Dotation de fonctionnement encore insuffisant</w:t>
            </w:r>
          </w:p>
        </w:tc>
        <w:tc>
          <w:tcPr>
            <w:tcW w:w="3117" w:type="dxa"/>
          </w:tcPr>
          <w:p w14:paraId="58417145" w14:textId="4453304B" w:rsidR="00DD44CD" w:rsidRPr="00514439" w:rsidRDefault="00514439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>Faible déploiement sur le terrain</w:t>
            </w:r>
          </w:p>
        </w:tc>
        <w:tc>
          <w:tcPr>
            <w:tcW w:w="3117" w:type="dxa"/>
          </w:tcPr>
          <w:p w14:paraId="61A35402" w14:textId="768C10CA" w:rsidR="00DD44CD" w:rsidRPr="00514439" w:rsidRDefault="00514439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>Revoir à la hausse les dotations financières de fonctionnement des structures de base, pour un meilleur déploiement sur le terrain</w:t>
            </w:r>
          </w:p>
        </w:tc>
      </w:tr>
      <w:tr w:rsidR="00DD44CD" w14:paraId="0C79BE57" w14:textId="77777777" w:rsidTr="00DD44CD">
        <w:tc>
          <w:tcPr>
            <w:tcW w:w="3116" w:type="dxa"/>
          </w:tcPr>
          <w:p w14:paraId="4EF075C6" w14:textId="738947D9" w:rsidR="00DD44CD" w:rsidRPr="00DD44CD" w:rsidRDefault="00514439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>Matériel didactique essentiel absent ou défectueux (</w:t>
            </w:r>
            <w:proofErr w:type="spellStart"/>
            <w:r w:rsidR="00753AEC">
              <w:rPr>
                <w:lang w:val="fr-FR"/>
              </w:rPr>
              <w:t>moto,</w:t>
            </w:r>
            <w:r>
              <w:rPr>
                <w:lang w:val="fr-FR"/>
              </w:rPr>
              <w:t>groupe</w:t>
            </w:r>
            <w:proofErr w:type="spellEnd"/>
            <w:r>
              <w:rPr>
                <w:lang w:val="fr-FR"/>
              </w:rPr>
              <w:t xml:space="preserve"> électrogène, laptop, matériel de </w:t>
            </w:r>
            <w:r>
              <w:rPr>
                <w:lang w:val="fr-FR"/>
              </w:rPr>
              <w:lastRenderedPageBreak/>
              <w:t>bureautique et accessoires)</w:t>
            </w:r>
          </w:p>
        </w:tc>
        <w:tc>
          <w:tcPr>
            <w:tcW w:w="3117" w:type="dxa"/>
          </w:tcPr>
          <w:p w14:paraId="79E31CF2" w14:textId="54FE814D" w:rsidR="00DD44CD" w:rsidRPr="00514439" w:rsidRDefault="00514439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Inefficacité dans l’action </w:t>
            </w:r>
          </w:p>
        </w:tc>
        <w:tc>
          <w:tcPr>
            <w:tcW w:w="3117" w:type="dxa"/>
          </w:tcPr>
          <w:p w14:paraId="18DA5EF6" w14:textId="3F6C80F3" w:rsidR="00DD44CD" w:rsidRPr="00514439" w:rsidRDefault="00753AEC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>Poursuivre la dotation en matériel didactique de première nécessité dans tous les arrondissements</w:t>
            </w:r>
          </w:p>
        </w:tc>
      </w:tr>
      <w:tr w:rsidR="00514439" w14:paraId="643DE700" w14:textId="77777777" w:rsidTr="00DD44CD">
        <w:tc>
          <w:tcPr>
            <w:tcW w:w="3116" w:type="dxa"/>
          </w:tcPr>
          <w:p w14:paraId="1FDC6522" w14:textId="0B695212" w:rsidR="00514439" w:rsidRDefault="00514439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Absence ou vétusté de bâtiments appropriés et incitatifs pour l’accueil des jeunes </w:t>
            </w:r>
          </w:p>
        </w:tc>
        <w:tc>
          <w:tcPr>
            <w:tcW w:w="3117" w:type="dxa"/>
          </w:tcPr>
          <w:p w14:paraId="65209DF2" w14:textId="64CA71D2" w:rsidR="00514439" w:rsidRPr="00514439" w:rsidRDefault="00514439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>Difficulté dans l’accueil des jeunes et détérioration de l’image de l’institution en charge de le jeunesse, fer de lance de la nation</w:t>
            </w:r>
          </w:p>
        </w:tc>
        <w:tc>
          <w:tcPr>
            <w:tcW w:w="3117" w:type="dxa"/>
          </w:tcPr>
          <w:p w14:paraId="2F582987" w14:textId="573DD13C" w:rsidR="00514439" w:rsidRPr="00753AEC" w:rsidRDefault="00753AEC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>Poursuivre la construction et la réhabilitation des CMPJ, pour un meilleur accueil des jeunes</w:t>
            </w:r>
          </w:p>
        </w:tc>
      </w:tr>
    </w:tbl>
    <w:p w14:paraId="6ACA8491" w14:textId="77777777" w:rsidR="00DD44CD" w:rsidRDefault="00DD44CD" w:rsidP="005430ED">
      <w:pPr>
        <w:jc w:val="both"/>
        <w:rPr>
          <w:lang w:val="fr-FR"/>
        </w:rPr>
      </w:pPr>
    </w:p>
    <w:p w14:paraId="2D040517" w14:textId="438D9A09" w:rsidR="00855BD2" w:rsidRPr="00395611" w:rsidRDefault="002B2150">
      <w:pPr>
        <w:rPr>
          <w:b/>
          <w:bCs/>
          <w:sz w:val="28"/>
          <w:szCs w:val="28"/>
          <w:lang w:val="fr-FR"/>
        </w:rPr>
      </w:pPr>
      <w:r w:rsidRPr="00395611">
        <w:rPr>
          <w:b/>
          <w:bCs/>
          <w:sz w:val="28"/>
          <w:szCs w:val="28"/>
          <w:lang w:val="fr-FR"/>
        </w:rPr>
        <w:t>C/ Sur le plan de la mobilisation des jeunes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B2150" w14:paraId="17728C4D" w14:textId="77777777" w:rsidTr="002B2150">
        <w:tc>
          <w:tcPr>
            <w:tcW w:w="3116" w:type="dxa"/>
          </w:tcPr>
          <w:p w14:paraId="4675B4E8" w14:textId="22A25742" w:rsidR="002B2150" w:rsidRDefault="002B2150" w:rsidP="002B2150">
            <w:pPr>
              <w:rPr>
                <w:lang w:val="fr-FR"/>
              </w:rPr>
            </w:pPr>
            <w:r>
              <w:rPr>
                <w:lang w:val="fr-FR"/>
              </w:rPr>
              <w:t>Limites ou difficultés</w:t>
            </w:r>
          </w:p>
        </w:tc>
        <w:tc>
          <w:tcPr>
            <w:tcW w:w="3117" w:type="dxa"/>
          </w:tcPr>
          <w:p w14:paraId="2CA9F2FC" w14:textId="08DB843C" w:rsidR="002B2150" w:rsidRDefault="002B2150" w:rsidP="002B2150">
            <w:pPr>
              <w:rPr>
                <w:lang w:val="fr-FR"/>
              </w:rPr>
            </w:pPr>
            <w:r>
              <w:rPr>
                <w:lang w:val="fr-FR"/>
              </w:rPr>
              <w:t>Conséquence ou impact</w:t>
            </w:r>
          </w:p>
        </w:tc>
        <w:tc>
          <w:tcPr>
            <w:tcW w:w="3117" w:type="dxa"/>
          </w:tcPr>
          <w:p w14:paraId="0EDB8B10" w14:textId="292A55D4" w:rsidR="002B2150" w:rsidRDefault="002B2150" w:rsidP="002B2150">
            <w:pPr>
              <w:rPr>
                <w:lang w:val="fr-FR"/>
              </w:rPr>
            </w:pPr>
            <w:r>
              <w:rPr>
                <w:lang w:val="fr-FR"/>
              </w:rPr>
              <w:t>Approche de solution</w:t>
            </w:r>
          </w:p>
        </w:tc>
      </w:tr>
      <w:tr w:rsidR="002B2150" w14:paraId="59E1CE12" w14:textId="77777777" w:rsidTr="002B2150">
        <w:tc>
          <w:tcPr>
            <w:tcW w:w="3116" w:type="dxa"/>
          </w:tcPr>
          <w:p w14:paraId="4F55D33E" w14:textId="77777777" w:rsidR="002B2150" w:rsidRDefault="002B2150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Inopérationalisation</w:t>
            </w:r>
            <w:proofErr w:type="spellEnd"/>
            <w:r>
              <w:rPr>
                <w:lang w:val="fr-FR"/>
              </w:rPr>
              <w:t xml:space="preserve"> des structures d’encadrement des jeunes telles que les conseils communaux, CNJC, CONEP et même les CMJ ; en plus, la majorité des responsables dédites structures sont non résidant dans la localité</w:t>
            </w:r>
          </w:p>
          <w:p w14:paraId="207D3540" w14:textId="56DB8088" w:rsidR="005430ED" w:rsidRPr="002B2150" w:rsidRDefault="005430ED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>Confusion de rôles et de missions entre le bénévolat, le volontariat et les médiateurs communautaires, ainsi que l’absence des modalités de leur prise en charge</w:t>
            </w:r>
          </w:p>
        </w:tc>
        <w:tc>
          <w:tcPr>
            <w:tcW w:w="3117" w:type="dxa"/>
          </w:tcPr>
          <w:p w14:paraId="285E5805" w14:textId="77777777" w:rsidR="002B2150" w:rsidRDefault="002B2150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>Encadrement et mobilisation insuffisante des jeunes pouvant bénéficier de projets et programmes</w:t>
            </w:r>
          </w:p>
          <w:p w14:paraId="79C42725" w14:textId="77777777" w:rsidR="005430ED" w:rsidRDefault="005430ED" w:rsidP="005430ED">
            <w:pPr>
              <w:jc w:val="both"/>
              <w:rPr>
                <w:lang w:val="fr-FR"/>
              </w:rPr>
            </w:pPr>
          </w:p>
          <w:p w14:paraId="51EDC9D0" w14:textId="77777777" w:rsidR="005430ED" w:rsidRPr="005430ED" w:rsidRDefault="005430ED" w:rsidP="005430ED">
            <w:pPr>
              <w:jc w:val="both"/>
              <w:rPr>
                <w:lang w:val="fr-FR"/>
              </w:rPr>
            </w:pPr>
          </w:p>
          <w:p w14:paraId="7E709277" w14:textId="005B5744" w:rsidR="005430ED" w:rsidRPr="002B2150" w:rsidRDefault="005430ED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>Confusion de rôles et démotivation</w:t>
            </w:r>
          </w:p>
        </w:tc>
        <w:tc>
          <w:tcPr>
            <w:tcW w:w="3117" w:type="dxa"/>
          </w:tcPr>
          <w:p w14:paraId="5C31D49B" w14:textId="77777777" w:rsidR="002B2150" w:rsidRDefault="002B2150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Prévoir des clauses de résidence dans la mise en place de ces conseils, ne serait ce que pour les membres du bureau </w:t>
            </w:r>
          </w:p>
          <w:p w14:paraId="67F7D248" w14:textId="77777777" w:rsidR="000C0BA7" w:rsidRPr="000C0BA7" w:rsidRDefault="000C0BA7" w:rsidP="000C0BA7">
            <w:pPr>
              <w:jc w:val="both"/>
              <w:rPr>
                <w:lang w:val="fr-FR"/>
              </w:rPr>
            </w:pPr>
          </w:p>
          <w:p w14:paraId="3FAFE49A" w14:textId="54B75BCA" w:rsidR="005430ED" w:rsidRPr="002B2150" w:rsidRDefault="005430ED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Repréciser les rôles et missions de </w:t>
            </w:r>
            <w:r w:rsidR="000C0BA7">
              <w:rPr>
                <w:lang w:val="fr-FR"/>
              </w:rPr>
              <w:t>volontaires,</w:t>
            </w:r>
            <w:r>
              <w:rPr>
                <w:lang w:val="fr-FR"/>
              </w:rPr>
              <w:t xml:space="preserve"> bénévoles et médiateurs communautaires et les modalités de leur prise en charge</w:t>
            </w:r>
          </w:p>
        </w:tc>
      </w:tr>
    </w:tbl>
    <w:p w14:paraId="05217B0E" w14:textId="77777777" w:rsidR="002B2150" w:rsidRDefault="002B2150">
      <w:pPr>
        <w:rPr>
          <w:lang w:val="fr-FR"/>
        </w:rPr>
      </w:pPr>
    </w:p>
    <w:p w14:paraId="03A8847B" w14:textId="542BA8FE" w:rsidR="00EB4EB2" w:rsidRPr="00395611" w:rsidRDefault="00EB4EB2">
      <w:pPr>
        <w:rPr>
          <w:b/>
          <w:bCs/>
          <w:sz w:val="28"/>
          <w:szCs w:val="28"/>
          <w:lang w:val="fr-FR"/>
        </w:rPr>
      </w:pPr>
      <w:r w:rsidRPr="00395611">
        <w:rPr>
          <w:b/>
          <w:bCs/>
          <w:sz w:val="28"/>
          <w:szCs w:val="28"/>
          <w:lang w:val="fr-FR"/>
        </w:rPr>
        <w:t xml:space="preserve">D/ Sur </w:t>
      </w:r>
      <w:r w:rsidRPr="00395611">
        <w:rPr>
          <w:b/>
          <w:bCs/>
          <w:sz w:val="28"/>
          <w:szCs w:val="28"/>
          <w:lang w:val="fr-FR"/>
        </w:rPr>
        <w:t>le plan de la prise en charge des jeunes à financer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B4EB2" w14:paraId="0168C784" w14:textId="77777777" w:rsidTr="00EB4EB2">
        <w:tc>
          <w:tcPr>
            <w:tcW w:w="3116" w:type="dxa"/>
          </w:tcPr>
          <w:p w14:paraId="57EE3F57" w14:textId="2B3CED5D" w:rsidR="00EB4EB2" w:rsidRDefault="00EB4EB2" w:rsidP="00EB4EB2">
            <w:pPr>
              <w:rPr>
                <w:lang w:val="fr-FR"/>
              </w:rPr>
            </w:pPr>
            <w:r>
              <w:rPr>
                <w:lang w:val="fr-FR"/>
              </w:rPr>
              <w:t>Limites ou difficultés</w:t>
            </w:r>
          </w:p>
        </w:tc>
        <w:tc>
          <w:tcPr>
            <w:tcW w:w="3117" w:type="dxa"/>
          </w:tcPr>
          <w:p w14:paraId="6A00D0A2" w14:textId="3BE7059B" w:rsidR="00EB4EB2" w:rsidRDefault="00EB4EB2" w:rsidP="00EB4EB2">
            <w:pPr>
              <w:rPr>
                <w:lang w:val="fr-FR"/>
              </w:rPr>
            </w:pPr>
            <w:r>
              <w:rPr>
                <w:lang w:val="fr-FR"/>
              </w:rPr>
              <w:t>Conséquence ou impact</w:t>
            </w:r>
          </w:p>
        </w:tc>
        <w:tc>
          <w:tcPr>
            <w:tcW w:w="3117" w:type="dxa"/>
          </w:tcPr>
          <w:p w14:paraId="3C50C380" w14:textId="20BBBCB3" w:rsidR="00EB4EB2" w:rsidRDefault="00EB4EB2" w:rsidP="00EB4EB2">
            <w:pPr>
              <w:rPr>
                <w:lang w:val="fr-FR"/>
              </w:rPr>
            </w:pPr>
            <w:r>
              <w:rPr>
                <w:lang w:val="fr-FR"/>
              </w:rPr>
              <w:t>Approche de solution</w:t>
            </w:r>
          </w:p>
        </w:tc>
      </w:tr>
      <w:tr w:rsidR="00EB4EB2" w14:paraId="7D1C5A7E" w14:textId="77777777" w:rsidTr="00EB4EB2">
        <w:tc>
          <w:tcPr>
            <w:tcW w:w="3116" w:type="dxa"/>
          </w:tcPr>
          <w:p w14:paraId="2BBAC768" w14:textId="6B0C3B41" w:rsidR="00EB4EB2" w:rsidRPr="00EB4EB2" w:rsidRDefault="00EB4EB2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>Longue attente et parfois non fructueuse</w:t>
            </w:r>
          </w:p>
        </w:tc>
        <w:tc>
          <w:tcPr>
            <w:tcW w:w="3117" w:type="dxa"/>
          </w:tcPr>
          <w:p w14:paraId="378099F4" w14:textId="041644F1" w:rsidR="00EB4EB2" w:rsidRPr="00EB4EB2" w:rsidRDefault="00EB4EB2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Découragement, manque de confiance et parfois diffamation, par rapport à la </w:t>
            </w:r>
            <w:r>
              <w:rPr>
                <w:lang w:val="fr-FR"/>
              </w:rPr>
              <w:lastRenderedPageBreak/>
              <w:t xml:space="preserve">fiabilité des projets et programmes </w:t>
            </w:r>
          </w:p>
        </w:tc>
        <w:tc>
          <w:tcPr>
            <w:tcW w:w="3117" w:type="dxa"/>
          </w:tcPr>
          <w:p w14:paraId="2940661D" w14:textId="77777777" w:rsidR="00EB4EB2" w:rsidRDefault="00EB4EB2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Décentraliser si possible les comités de crédit en région et réduire le nombre </w:t>
            </w:r>
            <w:r>
              <w:rPr>
                <w:lang w:val="fr-FR"/>
              </w:rPr>
              <w:lastRenderedPageBreak/>
              <w:t xml:space="preserve">d’intervenants dans la chaine </w:t>
            </w:r>
          </w:p>
          <w:p w14:paraId="6F102744" w14:textId="77777777" w:rsidR="00EB4EB2" w:rsidRDefault="00395611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>Affecter</w:t>
            </w:r>
            <w:r w:rsidR="00EB4EB2">
              <w:rPr>
                <w:lang w:val="fr-FR"/>
              </w:rPr>
              <w:t xml:space="preserve"> statutairement des quotas financiers dans les régions sous la gestion des autorités locales</w:t>
            </w:r>
          </w:p>
          <w:p w14:paraId="7D941594" w14:textId="77777777" w:rsidR="008960A5" w:rsidRDefault="008960A5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Revoir la formule des clusters qui semble être </w:t>
            </w:r>
            <w:proofErr w:type="spellStart"/>
            <w:r>
              <w:rPr>
                <w:lang w:val="fr-FR"/>
              </w:rPr>
              <w:t>inopérationnelle</w:t>
            </w:r>
            <w:proofErr w:type="spellEnd"/>
            <w:r>
              <w:rPr>
                <w:lang w:val="fr-FR"/>
              </w:rPr>
              <w:t>, car les jeunes ne s’entendent pas au départ</w:t>
            </w:r>
          </w:p>
          <w:p w14:paraId="5B9EFB52" w14:textId="1783341F" w:rsidR="008960A5" w:rsidRPr="00EB4EB2" w:rsidRDefault="008960A5" w:rsidP="005430E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Revoir la formule des business plans standards, les réalités n’étant pas les même </w:t>
            </w:r>
          </w:p>
        </w:tc>
      </w:tr>
    </w:tbl>
    <w:p w14:paraId="3C34FF95" w14:textId="77777777" w:rsidR="00EB4EB2" w:rsidRDefault="00EB4EB2">
      <w:pPr>
        <w:rPr>
          <w:lang w:val="fr-FR"/>
        </w:rPr>
      </w:pPr>
    </w:p>
    <w:p w14:paraId="58527713" w14:textId="77777777" w:rsidR="00EB4EB2" w:rsidRDefault="00EB4EB2">
      <w:pPr>
        <w:rPr>
          <w:lang w:val="fr-FR"/>
        </w:rPr>
      </w:pPr>
    </w:p>
    <w:p w14:paraId="7B121844" w14:textId="77777777" w:rsidR="002B2150" w:rsidRDefault="002B2150">
      <w:pPr>
        <w:rPr>
          <w:lang w:val="fr-FR"/>
        </w:rPr>
      </w:pPr>
    </w:p>
    <w:p w14:paraId="1DA14D03" w14:textId="77777777" w:rsidR="00855BD2" w:rsidRPr="00855BD2" w:rsidRDefault="00855BD2">
      <w:pPr>
        <w:rPr>
          <w:lang w:val="fr-FR"/>
        </w:rPr>
      </w:pPr>
    </w:p>
    <w:sectPr w:rsidR="00855BD2" w:rsidRPr="00855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C206A"/>
    <w:multiLevelType w:val="hybridMultilevel"/>
    <w:tmpl w:val="BD4EFA72"/>
    <w:lvl w:ilvl="0" w:tplc="E28CA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62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D2"/>
    <w:rsid w:val="000C0BA7"/>
    <w:rsid w:val="00231B59"/>
    <w:rsid w:val="00260CB9"/>
    <w:rsid w:val="002B2150"/>
    <w:rsid w:val="00395611"/>
    <w:rsid w:val="004508B6"/>
    <w:rsid w:val="00490020"/>
    <w:rsid w:val="00514439"/>
    <w:rsid w:val="005430ED"/>
    <w:rsid w:val="005A05F0"/>
    <w:rsid w:val="00606250"/>
    <w:rsid w:val="00753AEC"/>
    <w:rsid w:val="00855BD2"/>
    <w:rsid w:val="008960A5"/>
    <w:rsid w:val="00A23A84"/>
    <w:rsid w:val="00B510D8"/>
    <w:rsid w:val="00DD44CD"/>
    <w:rsid w:val="00EB4EB2"/>
    <w:rsid w:val="00EF1DA8"/>
    <w:rsid w:val="00F1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E53B8"/>
  <w15:chartTrackingRefBased/>
  <w15:docId w15:val="{FA95D888-D054-405A-9F71-7B97F9B7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B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B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B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B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B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B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B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BD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1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2026-01-11T20:29:00Z</dcterms:created>
  <dcterms:modified xsi:type="dcterms:W3CDTF">2026-01-11T22:06:00Z</dcterms:modified>
</cp:coreProperties>
</file>